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200"/>
        <w:jc w:val="center"/>
      </w:pPr>
      <w:r>
        <w:rPr>
          <w:b/>
          <w:bCs/>
          <w:color w:val="198754"/>
          <w:sz w:val="56"/>
          <w:szCs w:val="56"/>
        </w:rPr>
        <w:t xml:space="preserve">EDTA Plant</w:t>
      </w:r>
    </w:p>
    <w:p>
      <w:pPr>
        <w:spacing w:after="120"/>
        <w:jc w:val="center"/>
      </w:pPr>
      <w:r>
        <w:rPr>
          <w:color w:val="5A6B60"/>
          <w:sz w:val="17"/>
          <w:szCs w:val="17"/>
        </w:rPr>
        <w:t xml:space="preserve">edtaplant.ro</w:t>
      </w:r>
    </w:p>
    <w:p>
      <w:pPr>
        <w:pBdr>
          <w:top w:val="single" w:color="198754" w:sz="6"/>
        </w:pBdr>
        <w:spacing w:after="60"/>
        <w:jc w:val="center"/>
      </w:pPr>
    </w:p>
    <w:p>
      <w:pPr>
        <w:spacing w:after="80" w:before="200"/>
        <w:jc w:val="center"/>
      </w:pPr>
      <w:r>
        <w:rPr>
          <w:b/>
          <w:bCs/>
          <w:color w:val="1F2F26"/>
          <w:sz w:val="44"/>
          <w:szCs w:val="44"/>
        </w:rPr>
        <w:t xml:space="preserve">Ghid tehnic de analiză foliară</w:t>
      </w:r>
    </w:p>
    <w:p>
      <w:pPr>
        <w:spacing w:after="60"/>
        <w:jc w:val="center"/>
      </w:pPr>
      <w:r>
        <w:rPr>
          <w:color w:val="0F5C3F"/>
          <w:sz w:val="30"/>
          <w:szCs w:val="30"/>
        </w:rPr>
        <w:t xml:space="preserve">Nuc soiul Chandler</w:t>
      </w:r>
    </w:p>
    <w:p>
      <w:pPr>
        <w:spacing w:after="80"/>
        <w:jc w:val="center"/>
      </w:pPr>
      <w:r>
        <w:rPr>
          <w:i/>
          <w:iCs/>
          <w:color w:val="5A6B60"/>
          <w:sz w:val="20"/>
          <w:szCs w:val="20"/>
        </w:rPr>
        <w:t xml:space="preserve">Juglans regia  ·  Ediția 1 (Iulie 2026)</w:t>
      </w:r>
    </w:p>
    <w:p>
      <w:pPr>
        <w:spacing w:after="120" w:before="120"/>
        <w:jc w:val="center"/>
      </w:pPr>
      <w:r>
        <w:rPr>
          <w:b/>
          <w:bCs/>
          <w:color w:val="FFFFFF"/>
          <w:sz w:val="17"/>
          <w:szCs w:val="17"/>
          <w:shd w:color="B45309" w:val="solid"/>
        </w:rPr>
        <w:t xml:space="preserve">  Previzualizare — extras din documentul integral  </w:t>
      </w:r>
    </w:p>
    <w:tbl>
      <w:tblPr>
        <w:tblW w:type="pct" w:w="70%"/>
        <w:jc w:val="center"/>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Generat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09 august 2026</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Versiune document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v1.0</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Sursă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Standardele partajate EDTA</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Consultanță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Nutriția plantelor 0729 857 947</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Suport tehnic</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0723 595 983</w:t>
            </w:r>
          </w:p>
        </w:tc>
      </w:tr>
    </w:tbl>
    <w:p>
      <w:r>
        <w:br w:type="page"/>
      </w:r>
    </w:p>
    <w:p>
      <w:pPr>
        <w:pStyle w:val="Heading1"/>
      </w:pPr>
      <w:r>
        <w:t xml:space="preserve">Cuprins</w:t>
      </w:r>
    </w:p>
    <w:p>
      <w:pPr>
        <w:tabs>
          <w:tab w:val="right" w:pos="9070" w:leader="dot"/>
        </w:tabs>
        <w:spacing w:after="100"/>
      </w:pPr>
      <w:r>
        <w:rPr>
          <w:b/>
          <w:bCs/>
          <w:color w:val="0F5C3F"/>
          <w:sz w:val="19"/>
          <w:szCs w:val="19"/>
        </w:rPr>
        <w:t xml:space="preserve">1.  </w:t>
      </w:r>
      <w:r>
        <w:rPr>
          <w:color w:val="1F2F26"/>
          <w:sz w:val="19"/>
          <w:szCs w:val="19"/>
        </w:rPr>
        <w:t xml:space="preserve">Prezentarea soiului</w:t>
      </w:r>
    </w:p>
    <w:p>
      <w:pPr>
        <w:tabs>
          <w:tab w:val="right" w:pos="9070" w:leader="dot"/>
        </w:tabs>
        <w:spacing w:after="100"/>
      </w:pPr>
      <w:r>
        <w:rPr>
          <w:b/>
          <w:bCs/>
          <w:color w:val="0F5C3F"/>
          <w:sz w:val="19"/>
          <w:szCs w:val="19"/>
        </w:rPr>
        <w:t xml:space="preserve">2.  </w:t>
      </w:r>
      <w:r>
        <w:rPr>
          <w:color w:val="1F2F26"/>
          <w:sz w:val="19"/>
          <w:szCs w:val="19"/>
        </w:rPr>
        <w:t xml:space="preserve">Descriere agronomică</w:t>
      </w:r>
    </w:p>
    <w:p>
      <w:pPr>
        <w:tabs>
          <w:tab w:val="right" w:pos="9070" w:leader="dot"/>
        </w:tabs>
        <w:spacing w:after="100"/>
      </w:pPr>
      <w:r>
        <w:rPr>
          <w:b/>
          <w:bCs/>
          <w:color w:val="0F5C3F"/>
          <w:sz w:val="19"/>
          <w:szCs w:val="19"/>
        </w:rPr>
        <w:t xml:space="preserve">3.  </w:t>
      </w:r>
      <w:r>
        <w:rPr>
          <w:color w:val="1F2F26"/>
          <w:sz w:val="19"/>
          <w:szCs w:val="19"/>
        </w:rPr>
        <w:t xml:space="preserve">Recomandări tehnologice</w:t>
      </w:r>
    </w:p>
    <w:p>
      <w:pPr>
        <w:tabs>
          <w:tab w:val="right" w:pos="9070" w:leader="dot"/>
        </w:tabs>
        <w:spacing w:after="100"/>
      </w:pPr>
      <w:r>
        <w:rPr>
          <w:b/>
          <w:bCs/>
          <w:color w:val="0F5C3F"/>
          <w:sz w:val="19"/>
          <w:szCs w:val="19"/>
        </w:rPr>
        <w:t xml:space="preserve">4.  </w:t>
      </w:r>
      <w:r>
        <w:rPr>
          <w:color w:val="1F2F26"/>
          <w:sz w:val="19"/>
          <w:szCs w:val="19"/>
        </w:rPr>
        <w:t xml:space="preserve">Protocol de prelevare a probelor</w:t>
      </w:r>
    </w:p>
    <w:p>
      <w:pPr>
        <w:tabs>
          <w:tab w:val="right" w:pos="9070" w:leader="dot"/>
        </w:tabs>
        <w:spacing w:after="100"/>
      </w:pPr>
      <w:r>
        <w:rPr>
          <w:b/>
          <w:bCs/>
          <w:color w:val="0F5C3F"/>
          <w:sz w:val="19"/>
          <w:szCs w:val="19"/>
        </w:rPr>
        <w:t xml:space="preserve">5.  </w:t>
      </w:r>
      <w:r>
        <w:rPr>
          <w:color w:val="1F2F26"/>
          <w:sz w:val="19"/>
          <w:szCs w:val="19"/>
        </w:rPr>
        <w:t xml:space="preserve">Fenofaze de referință (scala BBCH)</w:t>
      </w:r>
    </w:p>
    <w:p>
      <w:pPr>
        <w:tabs>
          <w:tab w:val="right" w:pos="9070" w:leader="dot"/>
        </w:tabs>
        <w:spacing w:after="100"/>
      </w:pPr>
      <w:r>
        <w:rPr>
          <w:b/>
          <w:bCs/>
          <w:color w:val="0F5C3F"/>
          <w:sz w:val="19"/>
          <w:szCs w:val="19"/>
        </w:rPr>
        <w:t xml:space="preserve">6.  </w:t>
      </w:r>
      <w:r>
        <w:rPr>
          <w:color w:val="1F2F26"/>
          <w:sz w:val="19"/>
          <w:szCs w:val="19"/>
        </w:rPr>
        <w:t xml:space="preserve">Valori orientative — standardele speciei</w:t>
      </w:r>
    </w:p>
    <w:p>
      <w:pPr>
        <w:tabs>
          <w:tab w:val="right" w:pos="9070" w:leader="dot"/>
        </w:tabs>
        <w:spacing w:after="100"/>
      </w:pPr>
      <w:r>
        <w:rPr>
          <w:b/>
          <w:bCs/>
          <w:color w:val="0F5C3F"/>
          <w:sz w:val="19"/>
          <w:szCs w:val="19"/>
        </w:rPr>
        <w:t xml:space="preserve">7.  </w:t>
      </w:r>
      <w:r>
        <w:rPr>
          <w:color w:val="1F2F26"/>
          <w:sz w:val="19"/>
          <w:szCs w:val="19"/>
        </w:rPr>
        <w:t xml:space="preserve">Simptome de carență, exces și impact asupra producției</w:t>
      </w:r>
    </w:p>
    <w:p>
      <w:pPr>
        <w:tabs>
          <w:tab w:val="right" w:pos="9070" w:leader="dot"/>
        </w:tabs>
        <w:spacing w:after="100"/>
      </w:pPr>
      <w:r>
        <w:rPr>
          <w:b/>
          <w:bCs/>
          <w:color w:val="0F5C3F"/>
          <w:sz w:val="19"/>
          <w:szCs w:val="19"/>
        </w:rPr>
        <w:t xml:space="preserve">8.  </w:t>
      </w:r>
      <w:r>
        <w:rPr>
          <w:color w:val="1F2F26"/>
          <w:sz w:val="19"/>
          <w:szCs w:val="19"/>
        </w:rPr>
        <w:t xml:space="preserve">Întrebări frecvente despre soiul Chandler</w:t>
      </w:r>
    </w:p>
    <w:p>
      <w:pPr>
        <w:tabs>
          <w:tab w:val="right" w:pos="9070" w:leader="dot"/>
        </w:tabs>
        <w:spacing w:after="100"/>
      </w:pPr>
      <w:r>
        <w:rPr>
          <w:b/>
          <w:bCs/>
          <w:color w:val="0F5C3F"/>
          <w:sz w:val="19"/>
          <w:szCs w:val="19"/>
        </w:rPr>
        <w:t xml:space="preserve">9.  </w:t>
      </w:r>
      <w:r>
        <w:rPr>
          <w:color w:val="1F2F26"/>
          <w:sz w:val="19"/>
          <w:szCs w:val="19"/>
        </w:rPr>
        <w:t xml:space="preserve">Surse &amp; referințe</w:t>
      </w:r>
    </w:p>
    <w:p>
      <w:pPr>
        <w:tabs>
          <w:tab w:val="right" w:pos="9070" w:leader="dot"/>
        </w:tabs>
        <w:spacing w:after="100"/>
      </w:pPr>
      <w:r>
        <w:rPr>
          <w:b/>
          <w:bCs/>
          <w:color w:val="0F5C3F"/>
          <w:sz w:val="19"/>
          <w:szCs w:val="19"/>
        </w:rPr>
        <w:t xml:space="preserve">10.  </w:t>
      </w:r>
      <w:r>
        <w:rPr>
          <w:color w:val="1F2F26"/>
          <w:sz w:val="19"/>
          <w:szCs w:val="19"/>
        </w:rPr>
        <w:t xml:space="preserve">Istoric versiuni</w:t>
      </w:r>
    </w:p>
    <w:p>
      <w:r>
        <w:br w:type="page"/>
      </w:r>
    </w:p>
    <w:p>
      <w:pPr>
        <w:pStyle w:val="Heading1"/>
        <w:spacing w:after="160" w:before="320"/>
      </w:pPr>
      <w:r>
        <w:rPr>
          <w:b/>
          <w:bCs/>
          <w:color w:val="1F2F26"/>
          <w:sz w:val="28"/>
          <w:szCs w:val="28"/>
        </w:rPr>
        <w:t xml:space="preserve">Prezentarea soiului</w:t>
      </w:r>
    </w:p>
    <w:p>
      <w:pPr>
        <w:spacing w:after="60"/>
      </w:pPr>
      <w:r>
        <w:rPr>
          <w:b/>
          <w:bCs/>
          <w:color w:val="5A6B60"/>
          <w:sz w:val="20"/>
          <w:szCs w:val="20"/>
        </w:rPr>
        <w:t xml:space="preserve">Cultura: </w:t>
      </w:r>
      <w:r>
        <w:rPr>
          <w:color w:val="1F2F26"/>
          <w:sz w:val="20"/>
          <w:szCs w:val="20"/>
        </w:rPr>
        <w:t xml:space="preserve">Nuc (Juglans regia)</w:t>
      </w:r>
    </w:p>
    <w:p>
      <w:pPr>
        <w:spacing w:after="60"/>
      </w:pPr>
      <w:r>
        <w:rPr>
          <w:b/>
          <w:bCs/>
          <w:color w:val="5A6B60"/>
          <w:sz w:val="20"/>
          <w:szCs w:val="20"/>
        </w:rPr>
        <w:t xml:space="preserve">Soiul: </w:t>
      </w:r>
      <w:r>
        <w:rPr>
          <w:color w:val="1F2F26"/>
          <w:sz w:val="20"/>
          <w:szCs w:val="20"/>
        </w:rPr>
        <w:t xml:space="preserve">Chandler</w:t>
      </w:r>
    </w:p>
    <w:p>
      <w:pPr>
        <w:spacing w:after="60"/>
      </w:pPr>
      <w:r>
        <w:rPr>
          <w:b/>
          <w:bCs/>
          <w:color w:val="5A6B60"/>
          <w:sz w:val="20"/>
          <w:szCs w:val="20"/>
        </w:rPr>
        <w:t xml:space="preserve">Origine: </w:t>
      </w:r>
      <w:r>
        <w:rPr>
          <w:color w:val="1F2F26"/>
          <w:sz w:val="20"/>
          <w:szCs w:val="20"/>
        </w:rPr>
        <w:t xml:space="preserve">Statele Unite (UC Davis)</w:t>
      </w:r>
    </w:p>
    <w:p>
      <w:pPr>
        <w:spacing w:after="60"/>
      </w:pPr>
      <w:r>
        <w:rPr>
          <w:b/>
          <w:bCs/>
          <w:color w:val="5A6B60"/>
          <w:sz w:val="20"/>
          <w:szCs w:val="20"/>
        </w:rPr>
        <w:t xml:space="preserve">Caracterizare scurtă: </w:t>
      </w:r>
      <w:r>
        <w:rPr>
          <w:color w:val="1F2F26"/>
          <w:sz w:val="20"/>
          <w:szCs w:val="20"/>
        </w:rPr>
        <w:t xml:space="preserve">Soi american, cel mai cultivat comercial</w:t>
      </w:r>
    </w:p>
    <w:p>
      <w:pPr>
        <w:spacing w:after="120"/>
      </w:pPr>
      <w:r>
        <w:rPr>
          <w:color w:val="1F2F26"/>
          <w:sz w:val="20"/>
          <w:szCs w:val="20"/>
        </w:rPr>
        <w:t xml:space="preserve">Chandler este cel mai cultivat soi de nuc pe plan comercial, apreciat pentru miezul de calitate superioară, deschis la culoare, și pentru producțiile constante. Are înfrunzire târzie și fructificare laterală, ceea ce îl face potrivit pentru livezile intensive.</w:t>
      </w:r>
    </w:p>
    <w:p>
      <w:pPr>
        <w:pStyle w:val="Heading2"/>
        <w:spacing w:after="100" w:before="200"/>
      </w:pPr>
      <w:r>
        <w:rPr>
          <w:b/>
          <w:bCs/>
          <w:color w:val="198754"/>
          <w:sz w:val="22"/>
          <w:szCs w:val="22"/>
        </w:rPr>
        <w:t xml:space="preserve">Caracteristici principale</w:t>
      </w:r>
    </w:p>
    <w:p>
      <w:pPr>
        <w:pStyle w:val="ListParagraph"/>
        <w:numPr>
          <w:ilvl w:val="0"/>
          <w:numId w:val="1"/>
        </w:numPr>
        <w:spacing w:after="60"/>
      </w:pPr>
      <w:r>
        <w:rPr>
          <w:color w:val="1F2F26"/>
          <w:sz w:val="20"/>
          <w:szCs w:val="20"/>
        </w:rPr>
        <w:t xml:space="preserve">Fructificare laterală</w:t>
      </w:r>
    </w:p>
    <w:p>
      <w:pPr>
        <w:pStyle w:val="ListParagraph"/>
        <w:numPr>
          <w:ilvl w:val="0"/>
          <w:numId w:val="1"/>
        </w:numPr>
        <w:spacing w:after="60"/>
      </w:pPr>
      <w:r>
        <w:rPr>
          <w:color w:val="1F2F26"/>
          <w:sz w:val="20"/>
          <w:szCs w:val="20"/>
        </w:rPr>
        <w:t xml:space="preserve">Înfrunzire târzie</w:t>
      </w:r>
    </w:p>
    <w:p>
      <w:pPr>
        <w:pStyle w:val="ListParagraph"/>
        <w:numPr>
          <w:ilvl w:val="0"/>
          <w:numId w:val="1"/>
        </w:numPr>
        <w:spacing w:after="60"/>
      </w:pPr>
      <w:r>
        <w:rPr>
          <w:color w:val="1F2F26"/>
          <w:sz w:val="20"/>
          <w:szCs w:val="20"/>
        </w:rPr>
        <w:t xml:space="preserve">Miez de calitate superioară</w:t>
      </w:r>
    </w:p>
    <w:p>
      <w:pPr>
        <w:pStyle w:val="ListParagraph"/>
        <w:numPr>
          <w:ilvl w:val="0"/>
          <w:numId w:val="1"/>
        </w:numPr>
        <w:spacing w:after="60"/>
      </w:pPr>
      <w:r>
        <w:rPr>
          <w:color w:val="1F2F26"/>
          <w:sz w:val="20"/>
          <w:szCs w:val="20"/>
        </w:rPr>
        <w:t xml:space="preserve">Recomandat pentru livezi intensive</w:t>
      </w:r>
    </w:p>
    <w:p>
      <w:pPr>
        <w:pStyle w:val="Heading1"/>
        <w:spacing w:after="160" w:before="320"/>
      </w:pPr>
      <w:r>
        <w:rPr>
          <w:b/>
          <w:bCs/>
          <w:color w:val="1F2F26"/>
          <w:sz w:val="28"/>
          <w:szCs w:val="28"/>
        </w:rPr>
        <w:t xml:space="preserve">Descriere agronomică</w:t>
      </w:r>
    </w:p>
    <w:p>
      <w:pPr>
        <w:pStyle w:val="Heading2"/>
        <w:spacing w:after="100" w:before="200"/>
      </w:pPr>
      <w:r>
        <w:rPr>
          <w:b/>
          <w:bCs/>
          <w:color w:val="198754"/>
          <w:sz w:val="22"/>
          <w:szCs w:val="22"/>
        </w:rPr>
        <w:t xml:space="preserve">1. Descrierea soiului Chandler și particularități agronomice</w:t>
      </w:r>
    </w:p>
    <w:p>
      <w:r>
        <w:br w:type="page"/>
      </w:r>
    </w:p>
    <w:p>
      <w:pPr>
        <w:spacing w:after="240" w:before="1800"/>
        <w:jc w:val="center"/>
      </w:pPr>
      <w:r>
        <w:rPr>
          <w:sz w:val="72"/>
          <w:szCs w:val="72"/>
        </w:rPr>
        <w:t xml:space="preserve">🔒</w:t>
      </w:r>
    </w:p>
    <w:p>
      <w:pPr>
        <w:spacing w:after="240"/>
        <w:jc w:val="center"/>
      </w:pPr>
      <w:r>
        <w:rPr>
          <w:b/>
          <w:bCs/>
          <w:color w:val="1F2F26"/>
          <w:sz w:val="30"/>
          <w:szCs w:val="30"/>
        </w:rPr>
        <w:t xml:space="preserve">Accesul complet la acest document este disponibil doar în varianta integrală.</w:t>
      </w:r>
    </w:p>
    <w:p>
      <w:pPr>
        <w:spacing w:after="240"/>
        <w:jc w:val="center"/>
      </w:pPr>
      <w:r>
        <w:rPr>
          <w:color w:val="5A6B60"/>
          <w:sz w:val="22"/>
          <w:szCs w:val="22"/>
        </w:rPr>
        <w:t xml:space="preserve">Acesta reprezintă un material tehnic profesional elaborat de echipa EDTA Plant și conține informații complete privind metodologia, interpretarea rezultatelor, recomandările tehnice și valorile de referință.</w:t>
      </w:r>
    </w:p>
    <w:p>
      <w:pPr>
        <w:spacing w:after="360"/>
        <w:jc w:val="center"/>
      </w:pPr>
      <w:r>
        <w:rPr>
          <w:b/>
          <w:bCs/>
          <w:color w:val="198754"/>
          <w:sz w:val="24"/>
          <w:szCs w:val="24"/>
        </w:rPr>
        <w:t xml:space="preserve">📩 Versiunea completă poate fi achiziționată online, direct de pe edtaplant.ro — acces instantaneu după confirmarea plății.</w:t>
      </w:r>
    </w:p>
    <w:p>
      <w:pPr>
        <w:jc w:val="center"/>
      </w:pPr>
      <w:r>
        <w:rPr>
          <w:color w:val="5A6B60"/>
          <w:sz w:val="20"/>
          <w:szCs w:val="20"/>
        </w:rPr>
        <w:t xml:space="preserve">Consultanță · Nutriția plantelor 0729 857 947   ·   Suport tehnic 0723 595 983   ·   edtaplant.ro/contact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F26"/>
        <w:sz w:val="20"/>
        <w:szCs w:val="20"/>
      </w:rPr>
    </w:rPrDefault>
    <w:pPrDefault>
      <w:pPr>
        <w:spacing w:after="12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98754" w:sz="4"/>
      </w:pBdr>
      <w:spacing w:after="140" w:before="280"/>
    </w:pPr>
    <w:rPr>
      <w:b/>
      <w:bCs/>
      <w:color w:val="1F2F26"/>
      <w:sz w:val="28"/>
      <w:szCs w:val="28"/>
    </w:rPr>
  </w:style>
  <w:style w:type="paragraph" w:styleId="Heading2">
    <w:name w:val="Heading 2"/>
    <w:basedOn w:val="Normal"/>
    <w:next w:val="Normal"/>
    <w:qFormat/>
    <w:pPr>
      <w:spacing w:after="100" w:before="200"/>
    </w:pPr>
    <w:rPr>
      <w:b/>
      <w:bCs/>
      <w:color w:val="198754"/>
      <w:sz w:val="22"/>
      <w:szCs w:val="22"/>
    </w:rPr>
  </w:style>
  <w:style w:type="paragraph" w:styleId="Heading3">
    <w:name w:val="Heading 3"/>
    <w:basedOn w:val="Normal"/>
    <w:next w:val="Normal"/>
    <w:qFormat/>
    <w:pPr>
      <w:spacing w:after="60" w:before="140"/>
    </w:pPr>
    <w:rPr>
      <w:b/>
      <w:bCs/>
      <w:color w:val="0F5C3F"/>
      <w:sz w:val="19"/>
      <w:szCs w:val="19"/>
    </w:rPr>
  </w:style>
  <w:style w:type="paragraph" w:styleId="Normal">
    <w:name w:val="Normal"/>
    <w:pPr>
      <w:spacing w:after="80" w:line="276" w:lineRule="auto"/>
      <w:jc w:val="both"/>
    </w:pPr>
    <w:rPr>
      <w:rFonts w:ascii="Calibri" w:cs="Calibri" w:eastAsia="Calibri" w:hAnsi="Calibri"/>
      <w:color w:val="1F2F26"/>
      <w:sz w:val="18"/>
      <w:szCs w:val="18"/>
    </w:rPr>
  </w:style>
  <w:style w:type="paragraph" w:styleId="Caption">
    <w:name w:val="Caption"/>
    <w:basedOn w:val="Normal"/>
    <w:pPr>
      <w:spacing w:after="120" w:before="60"/>
      <w:jc w:val="center"/>
    </w:pPr>
    <w:rPr>
      <w:i/>
      <w:iCs/>
      <w:color w:val="5A6B60"/>
      <w:sz w:val="16"/>
      <w:szCs w:val="16"/>
    </w:rPr>
  </w:style>
  <w:style w:type="paragraph" w:styleId="TableHeader">
    <w:name w:val="Table Header"/>
    <w:basedOn w:val="Normal"/>
    <w:pPr>
      <w:spacing w:after="0"/>
    </w:pPr>
    <w:rPr>
      <w:b/>
      <w:bCs/>
      <w:color w:val="FFFFFF"/>
      <w:sz w:val="17"/>
      <w:szCs w:val="17"/>
    </w:rPr>
  </w:style>
  <w:style w:type="paragraph" w:styleId="TableCell">
    <w:name w:val="Table Cell"/>
    <w:basedOn w:val="Normal"/>
    <w:pPr>
      <w:spacing w:after="0"/>
    </w:pPr>
    <w:rPr>
      <w:color w:val="1F2F26"/>
      <w:sz w:val="17"/>
      <w:szCs w:val="17"/>
    </w:rPr>
  </w:style>
  <w:style w:type="paragraph" w:styleId="FooterText">
    <w:name w:val="Footer Text"/>
    <w:basedOn w:val="Normal"/>
    <w:pPr>
      <w:spacing w:after="0"/>
      <w:jc w:val="left"/>
    </w:pPr>
    <w:rPr>
      <w:color w:val="5A6B60"/>
      <w:sz w:val="15"/>
      <w:szCs w:val="15"/>
    </w:rPr>
  </w:style>
  <w:style w:type="paragraph" w:styleId="EditorialBox">
    <w:name w:val="Editorial Box"/>
    <w:basedOn w:val="Normal"/>
    <w:pPr>
      <w:pBdr>
        <w:left w:val="thick" w:color="198754" w:sz="12"/>
      </w:pBdr>
      <w:shd w:color="EEF5F0" w:val="solid"/>
      <w:spacing w:after="60" w:before="60"/>
      <w:ind w:left="340"/>
    </w:pPr>
    <w:rPr>
      <w:color w:val="1F2F2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tehnic de analiză foliară — Nuc soiul Chandler</dc:title>
  <dc:subject>Nuc soiul Chandler</dc:subject>
  <dc:creator>EDTA Plant</dc:creator>
  <cp:keywords>EDTA Plant, edtaplant.ro</cp:keywords>
  <cp:lastModifiedBy>EDTA Plant</cp:lastModifiedBy>
  <cp:revision>1</cp:revision>
  <dcterms:created xsi:type="dcterms:W3CDTF">2026-08-09T13:54:22.984Z</dcterms:created>
  <dcterms:modified xsi:type="dcterms:W3CDTF">2026-08-09T13:54:22.984Z</dcterms:modified>
</cp:coreProperties>
</file>

<file path=docProps/custom.xml><?xml version="1.0" encoding="utf-8"?>
<Properties xmlns="http://schemas.openxmlformats.org/officeDocument/2006/custom-properties" xmlns:vt="http://schemas.openxmlformats.org/officeDocument/2006/docPropsVTypes"/>
</file>